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D5AA" w14:textId="02FE6AB1" w:rsidR="00234B19" w:rsidRPr="0006785B" w:rsidRDefault="0006785B" w:rsidP="0006785B">
      <w:pPr>
        <w:jc w:val="center"/>
        <w:rPr>
          <w:b/>
          <w:bCs/>
          <w:sz w:val="28"/>
          <w:szCs w:val="28"/>
        </w:rPr>
      </w:pPr>
      <w:r w:rsidRPr="0006785B">
        <w:rPr>
          <w:b/>
          <w:bCs/>
          <w:sz w:val="28"/>
          <w:szCs w:val="28"/>
        </w:rPr>
        <w:t>INFORMACJA O REZALIZOWANEJ STRATEGII PODATKOWEJ ZA ROK 202</w:t>
      </w:r>
      <w:r w:rsidR="00C85DE2">
        <w:rPr>
          <w:b/>
          <w:bCs/>
          <w:sz w:val="28"/>
          <w:szCs w:val="28"/>
        </w:rPr>
        <w:t>4</w:t>
      </w:r>
    </w:p>
    <w:p w14:paraId="0C3A9E59" w14:textId="77777777" w:rsidR="0006785B" w:rsidRPr="0006785B" w:rsidRDefault="0006785B" w:rsidP="0006785B">
      <w:pPr>
        <w:jc w:val="center"/>
        <w:rPr>
          <w:sz w:val="28"/>
          <w:szCs w:val="28"/>
        </w:rPr>
      </w:pPr>
      <w:r w:rsidRPr="0006785B">
        <w:rPr>
          <w:b/>
          <w:bCs/>
          <w:sz w:val="28"/>
          <w:szCs w:val="28"/>
        </w:rPr>
        <w:t>MIKSTOL POWIDZKI SPÓŁKA KOMANDYTOWA</w:t>
      </w:r>
    </w:p>
    <w:p w14:paraId="3FD969AA" w14:textId="77777777" w:rsidR="0006785B" w:rsidRDefault="0006785B"/>
    <w:p w14:paraId="12B7747B" w14:textId="0C0693F3" w:rsidR="0006785B" w:rsidRDefault="0006785B" w:rsidP="002E4328">
      <w:pPr>
        <w:pStyle w:val="Bezodstpw"/>
        <w:jc w:val="center"/>
      </w:pPr>
      <w:r>
        <w:t>Na podstawie art.  27 c ustawy o podatku dochodowym od osób prawnych spółka MIKSTOL POWIDZKI SPÓŁKA KOMANDYTOWA podaje do publicznej wiadomości informacje o realizowanej strategii podatkowej za rok 202</w:t>
      </w:r>
      <w:r w:rsidR="00C85DE2">
        <w:t>4</w:t>
      </w:r>
      <w:r>
        <w:t>.</w:t>
      </w:r>
    </w:p>
    <w:p w14:paraId="22FC3E5E" w14:textId="77777777" w:rsidR="0006785B" w:rsidRDefault="0006785B" w:rsidP="0006785B">
      <w:pPr>
        <w:pStyle w:val="Bezodstpw"/>
      </w:pPr>
    </w:p>
    <w:p w14:paraId="41F17204" w14:textId="77777777" w:rsidR="0006785B" w:rsidRDefault="0006785B" w:rsidP="0006785B">
      <w:pPr>
        <w:pStyle w:val="Bezodstpw"/>
      </w:pPr>
      <w:r>
        <w:t>Przedmiotem działalności spółki jest sprzedaż paliw na stacjach paliw oraz dostawa paliw do firm transportowych i gospodarstw rolnych.</w:t>
      </w:r>
    </w:p>
    <w:p w14:paraId="66AFE36F" w14:textId="77777777" w:rsidR="0006785B" w:rsidRDefault="0006785B" w:rsidP="0006785B">
      <w:pPr>
        <w:pStyle w:val="Bezodstpw"/>
      </w:pPr>
      <w:r>
        <w:t>Spółka prowadzi stacje paliw w :</w:t>
      </w:r>
    </w:p>
    <w:p w14:paraId="04B50D51" w14:textId="77777777" w:rsidR="0006785B" w:rsidRDefault="0006785B" w:rsidP="0006785B">
      <w:pPr>
        <w:pStyle w:val="Bezodstpw"/>
      </w:pPr>
      <w:r>
        <w:t>- Komornikach</w:t>
      </w:r>
    </w:p>
    <w:p w14:paraId="30CC96CC" w14:textId="77777777" w:rsidR="0006785B" w:rsidRDefault="0006785B" w:rsidP="0006785B">
      <w:pPr>
        <w:pStyle w:val="Bezodstpw"/>
      </w:pPr>
      <w:r>
        <w:t>-Niepruszewie</w:t>
      </w:r>
    </w:p>
    <w:p w14:paraId="33C1D6B1" w14:textId="77777777" w:rsidR="0006785B" w:rsidRDefault="0006785B" w:rsidP="0006785B">
      <w:pPr>
        <w:pStyle w:val="Bezodstpw"/>
      </w:pPr>
      <w:r>
        <w:t>-</w:t>
      </w:r>
      <w:proofErr w:type="spellStart"/>
      <w:r>
        <w:t>Mościenicy</w:t>
      </w:r>
      <w:proofErr w:type="spellEnd"/>
    </w:p>
    <w:p w14:paraId="2E562230" w14:textId="77777777" w:rsidR="0006785B" w:rsidRDefault="0006785B" w:rsidP="0006785B">
      <w:pPr>
        <w:pStyle w:val="Bezodstpw"/>
      </w:pPr>
      <w:r>
        <w:t>-Koninku</w:t>
      </w:r>
    </w:p>
    <w:p w14:paraId="396A55C4" w14:textId="77777777" w:rsidR="0006785B" w:rsidRDefault="0006785B" w:rsidP="0006785B">
      <w:pPr>
        <w:pStyle w:val="Bezodstpw"/>
      </w:pPr>
      <w:r>
        <w:t>-Dziećmierowie</w:t>
      </w:r>
    </w:p>
    <w:p w14:paraId="3F69213C" w14:textId="77777777" w:rsidR="0006785B" w:rsidRDefault="0006785B" w:rsidP="0006785B">
      <w:pPr>
        <w:pStyle w:val="Bezodstpw"/>
      </w:pPr>
      <w:r>
        <w:t>-Więckowicach</w:t>
      </w:r>
    </w:p>
    <w:p w14:paraId="3F2CDD41" w14:textId="77777777" w:rsidR="0006785B" w:rsidRDefault="0006785B" w:rsidP="0006785B">
      <w:pPr>
        <w:pStyle w:val="Bezodstpw"/>
      </w:pPr>
      <w:r>
        <w:t>-Książu Wlkp</w:t>
      </w:r>
      <w:r w:rsidR="00803E09">
        <w:t>.</w:t>
      </w:r>
    </w:p>
    <w:p w14:paraId="3EE2F314" w14:textId="64C7ED93" w:rsidR="00C85DE2" w:rsidRDefault="0006785B" w:rsidP="00C85DE2">
      <w:pPr>
        <w:pStyle w:val="Bezodstpw"/>
      </w:pPr>
      <w:r>
        <w:t>-Wrześni</w:t>
      </w:r>
    </w:p>
    <w:p w14:paraId="32284D8D" w14:textId="10CD88B1" w:rsidR="00C85DE2" w:rsidRDefault="00C85DE2" w:rsidP="00C85DE2">
      <w:pPr>
        <w:pStyle w:val="Bezodstpw"/>
      </w:pPr>
      <w:r>
        <w:t>-Tarnowie Podgórnym</w:t>
      </w:r>
    </w:p>
    <w:p w14:paraId="32CA73E7" w14:textId="21D3BC8A" w:rsidR="00C85DE2" w:rsidRDefault="00C85DE2" w:rsidP="00C85DE2">
      <w:pPr>
        <w:pStyle w:val="Bezodstpw"/>
      </w:pPr>
      <w:r>
        <w:t>-Wronkach</w:t>
      </w:r>
    </w:p>
    <w:p w14:paraId="67426947" w14:textId="77777777" w:rsidR="00E056FD" w:rsidRPr="00B84256" w:rsidRDefault="00E056FD" w:rsidP="00E056FD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Informacje o stosowanych przez podatnika procesach oraz</w:t>
      </w:r>
    </w:p>
    <w:p w14:paraId="79CDC219" w14:textId="77777777" w:rsidR="00E056FD" w:rsidRPr="00B84256" w:rsidRDefault="00E056FD" w:rsidP="00E056FD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procedurach dotyczących zarządzania wykonywaniem</w:t>
      </w:r>
    </w:p>
    <w:p w14:paraId="659C3C34" w14:textId="77777777" w:rsidR="00E056FD" w:rsidRPr="00B84256" w:rsidRDefault="00E056FD" w:rsidP="00E056FD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obowiązków wynikających z przepisów prawa podatkowego</w:t>
      </w:r>
    </w:p>
    <w:p w14:paraId="35BE924C" w14:textId="77777777" w:rsidR="00E056FD" w:rsidRPr="00B84256" w:rsidRDefault="00E056FD" w:rsidP="00E056FD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i zapewniających ich prawidłowe wykonanie</w:t>
      </w:r>
    </w:p>
    <w:p w14:paraId="6AFF4DAA" w14:textId="77777777" w:rsidR="00E056FD" w:rsidRPr="00B84256" w:rsidRDefault="00E056FD" w:rsidP="00E056FD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(art. 27c ust. 2 pkt 1a CIT)</w:t>
      </w:r>
    </w:p>
    <w:p w14:paraId="5F536DB7" w14:textId="77777777" w:rsidR="00E056FD" w:rsidRPr="00E056FD" w:rsidRDefault="00E056FD" w:rsidP="00E056FD">
      <w:pPr>
        <w:pStyle w:val="Bezodstpw"/>
        <w:jc w:val="center"/>
        <w:rPr>
          <w:i/>
          <w:iCs/>
        </w:rPr>
      </w:pPr>
    </w:p>
    <w:p w14:paraId="1EA4E22B" w14:textId="77777777" w:rsidR="0006785B" w:rsidRDefault="0006785B" w:rsidP="00B84256">
      <w:pPr>
        <w:jc w:val="both"/>
      </w:pPr>
      <w:r>
        <w:t xml:space="preserve">Od momentu powstania spółki , MIKSTOL POWIDZKI spółka komandytowa wprowadziła szereg procedur  i procesów mających na celu wywiązywanie się z obowiązków wynikających z przepisów podatkowych. Ma to na celu zapewnienie zgodności rozliczeń spółki </w:t>
      </w:r>
      <w:r w:rsidR="00B95CE1">
        <w:t>z przepisami podatkowymi, wymogami w zakresie sprawozdawczości oraz zarządzania ryzykiem.</w:t>
      </w:r>
    </w:p>
    <w:p w14:paraId="3685598C" w14:textId="77777777" w:rsidR="00B95CE1" w:rsidRDefault="00B95CE1" w:rsidP="00B84256">
      <w:pPr>
        <w:jc w:val="both"/>
      </w:pPr>
      <w:r>
        <w:t>Działalność spółki wspierana jest przez biuro rachunkowe, biegłego rewidenta i kancelari</w:t>
      </w:r>
      <w:r w:rsidR="00803E09">
        <w:t>ę</w:t>
      </w:r>
      <w:r>
        <w:t xml:space="preserve"> prawną.</w:t>
      </w:r>
    </w:p>
    <w:p w14:paraId="34C9261A" w14:textId="77777777" w:rsidR="00B95CE1" w:rsidRDefault="00B95CE1" w:rsidP="00803E09">
      <w:pPr>
        <w:jc w:val="both"/>
      </w:pPr>
      <w:r>
        <w:t>Spółka stoi na stanowisku, że wypracowane przez nią schematy działania i procesy podejmowania decyzji umożliwiają funkcjonowanie podmiotu w sposób transparentny podatkowo.</w:t>
      </w:r>
      <w:r w:rsidR="00803E09">
        <w:t xml:space="preserve"> Podejście Spółki do rozliczeń podatkowych opiera się na wnikliwej weryfikacji konsekwencji podatkowych i niepodejmowaniu inicjatyw ryzykownych podatkowo.</w:t>
      </w:r>
    </w:p>
    <w:p w14:paraId="23C78FE9" w14:textId="77777777" w:rsidR="00E056FD" w:rsidRPr="00B84256" w:rsidRDefault="00E056FD" w:rsidP="00E056FD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Informacje o stosowanych przez podatnika dobrowolnych</w:t>
      </w:r>
    </w:p>
    <w:p w14:paraId="39E896AA" w14:textId="77777777" w:rsidR="00E056FD" w:rsidRPr="00B84256" w:rsidRDefault="00E056FD" w:rsidP="00E056FD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formach współpracy z organami Krajowej Administracji</w:t>
      </w:r>
    </w:p>
    <w:p w14:paraId="2AE8DA5D" w14:textId="77777777" w:rsidR="00B95CE1" w:rsidRPr="00B84256" w:rsidRDefault="00E056FD" w:rsidP="00E056FD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Skarbowej (art. 27c ust. 2 pkt 1b CIT)</w:t>
      </w:r>
    </w:p>
    <w:p w14:paraId="420DFD1F" w14:textId="77777777" w:rsidR="00E056FD" w:rsidRDefault="00E056FD" w:rsidP="00E056FD">
      <w:pPr>
        <w:pStyle w:val="Bezodstpw"/>
        <w:jc w:val="center"/>
      </w:pPr>
    </w:p>
    <w:p w14:paraId="2DB47836" w14:textId="77777777" w:rsidR="00B95CE1" w:rsidRDefault="00B95CE1" w:rsidP="00B84256">
      <w:pPr>
        <w:jc w:val="both"/>
      </w:pPr>
      <w:r>
        <w:t>MIKSTOL POWIDZKI Spółka komandytowa podlega pod Urząd Skarbowy Poznań-Grunwald.</w:t>
      </w:r>
      <w:r w:rsidR="00E056FD">
        <w:t xml:space="preserve"> </w:t>
      </w:r>
      <w:r>
        <w:t>Spółka współpracuje z organem i nie podjęła innych dobrowolnych form współpracy</w:t>
      </w:r>
      <w:r w:rsidR="00B84256">
        <w:t>.</w:t>
      </w:r>
    </w:p>
    <w:p w14:paraId="7F74834F" w14:textId="77777777" w:rsidR="00B95CE1" w:rsidRPr="00B84256" w:rsidRDefault="00B95CE1" w:rsidP="00B95CE1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Informacje odnośnie do</w:t>
      </w:r>
      <w:r w:rsidR="00E056FD" w:rsidRPr="00B84256">
        <w:rPr>
          <w:b/>
          <w:bCs/>
          <w:i/>
          <w:iCs/>
        </w:rPr>
        <w:t>tyczące</w:t>
      </w:r>
      <w:r w:rsidRPr="00B84256">
        <w:rPr>
          <w:b/>
          <w:bCs/>
          <w:i/>
          <w:iCs/>
        </w:rPr>
        <w:t xml:space="preserve"> realizacji przez podatnika</w:t>
      </w:r>
    </w:p>
    <w:p w14:paraId="33DE69C8" w14:textId="77777777" w:rsidR="00B95CE1" w:rsidRPr="00B84256" w:rsidRDefault="00B95CE1" w:rsidP="00B95CE1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obowiązków podatkowych na terytorium Rzeczypospolitej</w:t>
      </w:r>
    </w:p>
    <w:p w14:paraId="768CEFB3" w14:textId="77777777" w:rsidR="00B95CE1" w:rsidRPr="00B84256" w:rsidRDefault="00B95CE1" w:rsidP="00B95CE1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Polskiej, wraz z informacją o liczbie przekazanych Szefowi</w:t>
      </w:r>
    </w:p>
    <w:p w14:paraId="17D4A243" w14:textId="77777777" w:rsidR="00B95CE1" w:rsidRPr="00B84256" w:rsidRDefault="00B95CE1" w:rsidP="00B95CE1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Krajowej Informacji Skarbowej informacji o schematach</w:t>
      </w:r>
    </w:p>
    <w:p w14:paraId="53619E1C" w14:textId="77777777" w:rsidR="00B95CE1" w:rsidRPr="00B84256" w:rsidRDefault="00B95CE1" w:rsidP="00B95CE1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lastRenderedPageBreak/>
        <w:t>podatkowych, o których mowa w art. 86a § 1 pkt 10 Ordynacji</w:t>
      </w:r>
    </w:p>
    <w:p w14:paraId="62FB73BC" w14:textId="77777777" w:rsidR="00B95CE1" w:rsidRPr="00B84256" w:rsidRDefault="00B95CE1" w:rsidP="00B95CE1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podatkowej, z podziałem na podatki których dotyczą</w:t>
      </w:r>
    </w:p>
    <w:p w14:paraId="6393CBC9" w14:textId="77777777" w:rsidR="00B95CE1" w:rsidRPr="00B84256" w:rsidRDefault="00B95CE1" w:rsidP="00B95CE1">
      <w:pPr>
        <w:pStyle w:val="Bezodstpw"/>
        <w:jc w:val="center"/>
        <w:rPr>
          <w:b/>
          <w:bCs/>
          <w:i/>
          <w:iCs/>
        </w:rPr>
      </w:pPr>
      <w:r w:rsidRPr="00B84256">
        <w:rPr>
          <w:b/>
          <w:bCs/>
          <w:i/>
          <w:iCs/>
        </w:rPr>
        <w:t>(art. 27c ust. 2 pkt 2 CIT)</w:t>
      </w:r>
    </w:p>
    <w:p w14:paraId="37FDCBB7" w14:textId="77777777" w:rsidR="00B84256" w:rsidRPr="00B84256" w:rsidRDefault="00B84256" w:rsidP="00B84256">
      <w:pPr>
        <w:pStyle w:val="Bezodstpw"/>
        <w:jc w:val="center"/>
        <w:rPr>
          <w:b/>
          <w:bCs/>
        </w:rPr>
      </w:pPr>
      <w:r w:rsidRPr="00B84256">
        <w:rPr>
          <w:b/>
          <w:bCs/>
        </w:rPr>
        <w:t>VAT</w:t>
      </w:r>
    </w:p>
    <w:p w14:paraId="1E7D0253" w14:textId="77777777" w:rsidR="00397E88" w:rsidRDefault="00397E88" w:rsidP="00B84256">
      <w:pPr>
        <w:pStyle w:val="Bezodstpw"/>
        <w:jc w:val="both"/>
      </w:pPr>
      <w:r>
        <w:t>MIKSTOL POWIDZKI Spółka komandytowa jest czynnym podatnikiem VAT.</w:t>
      </w:r>
      <w:r w:rsidRPr="00397E88">
        <w:t xml:space="preserve"> </w:t>
      </w:r>
      <w:r>
        <w:t>Spółka w ramach prowadzonej</w:t>
      </w:r>
    </w:p>
    <w:p w14:paraId="3CCEF1A2" w14:textId="14B151ED" w:rsidR="00397E88" w:rsidRDefault="00397E88" w:rsidP="00B84256">
      <w:pPr>
        <w:pStyle w:val="Bezodstpw"/>
        <w:jc w:val="both"/>
      </w:pPr>
      <w:r>
        <w:t>działalności wykonuje czynności opodatkowane. Rozliczenia z tytułu VAT</w:t>
      </w:r>
      <w:r w:rsidR="00B84256">
        <w:t xml:space="preserve"> </w:t>
      </w:r>
      <w:r>
        <w:t>prowadzone są w cyklu miesięcznym. W 202</w:t>
      </w:r>
      <w:r w:rsidR="00C85DE2">
        <w:t>4</w:t>
      </w:r>
      <w:r>
        <w:t xml:space="preserve"> roku Spółka terminowo składała</w:t>
      </w:r>
      <w:r w:rsidR="00B84256">
        <w:t xml:space="preserve"> </w:t>
      </w:r>
      <w:r>
        <w:t>deklaracje podatkowe z tytułu podatku od towarów i usług (JPK_V7M)</w:t>
      </w:r>
      <w:r w:rsidR="00B84256">
        <w:t xml:space="preserve"> </w:t>
      </w:r>
      <w:r>
        <w:t>Spółka przykłada wielką wagę do prawidłowości rozliczeń z tytułu VAT, w taki</w:t>
      </w:r>
      <w:r w:rsidR="00CC6206">
        <w:t xml:space="preserve"> </w:t>
      </w:r>
      <w:r>
        <w:t>sposób</w:t>
      </w:r>
      <w:r w:rsidR="00CC6206">
        <w:t>,</w:t>
      </w:r>
      <w:r>
        <w:t xml:space="preserve"> aby były one zgodne z regulacjami prawnymi, wytycznymi Ministra</w:t>
      </w:r>
      <w:r w:rsidR="00B84256">
        <w:t xml:space="preserve"> </w:t>
      </w:r>
      <w:r>
        <w:t>Finansów oraz odzwierciedlały bieżącą praktykę organów podatkowych. W celu</w:t>
      </w:r>
      <w:r w:rsidR="00B84256">
        <w:t xml:space="preserve"> </w:t>
      </w:r>
      <w:r>
        <w:t>utrzymania prawidłowości rozliczeń z tytułu podatku VAT, Spółka sprawuje bieżącą</w:t>
      </w:r>
      <w:r w:rsidR="00B84256">
        <w:t xml:space="preserve"> </w:t>
      </w:r>
      <w:r>
        <w:t>kontrolę nad ewentualną koniecznością dokonania korekty złożonych wcześniej</w:t>
      </w:r>
    </w:p>
    <w:p w14:paraId="6A18B8A1" w14:textId="77777777" w:rsidR="00E056FD" w:rsidRDefault="00397E88" w:rsidP="00B84256">
      <w:pPr>
        <w:pStyle w:val="Bezodstpw"/>
        <w:jc w:val="both"/>
      </w:pPr>
      <w:r>
        <w:t>zeznań podatkowych.</w:t>
      </w:r>
    </w:p>
    <w:p w14:paraId="516FDE17" w14:textId="77777777" w:rsidR="00803E09" w:rsidRDefault="00B76464" w:rsidP="00B76464">
      <w:pPr>
        <w:pStyle w:val="Bezodstpw"/>
        <w:jc w:val="both"/>
      </w:pPr>
      <w:r>
        <w:t xml:space="preserve">W celu eliminacji potencjalnych </w:t>
      </w:r>
      <w:proofErr w:type="spellStart"/>
      <w:r>
        <w:t>ryzyk</w:t>
      </w:r>
      <w:proofErr w:type="spellEnd"/>
      <w:r>
        <w:t xml:space="preserve"> podatkowych zobowiązania wobec kontrahentów Spółki regulowane są, co do zasady, z zastosowaniem mechanizmu podzielonej płatności. Powyższa zasada ma zastosowanie również w przypadku płatności kwot, które są poniżej określonego w przepisach prawnych progu tj. poniżej 15 000 zł.</w:t>
      </w:r>
    </w:p>
    <w:p w14:paraId="4BA7FDE2" w14:textId="77777777" w:rsidR="00B76464" w:rsidRDefault="00B76464" w:rsidP="00B76464">
      <w:pPr>
        <w:pStyle w:val="Bezodstpw"/>
        <w:jc w:val="both"/>
      </w:pPr>
      <w:r>
        <w:t>Regułą jest również, że zobowiązania Spółki wynikające z otrzymanych faktur wystawionych przez podatników podatku VAT dokumentujących sprzedaż towarów/usług regulowane są na rachunki bankowe widniejące w wykazie prowadzonym przez szefa Krajowej Administracji Skarbowej tj. rachunki widniejące na tzw. Białej liście podatników VAT</w:t>
      </w:r>
    </w:p>
    <w:p w14:paraId="06C3A5AA" w14:textId="77777777" w:rsidR="00B84256" w:rsidRPr="00B84256" w:rsidRDefault="00B84256" w:rsidP="00B84256">
      <w:pPr>
        <w:pStyle w:val="Bezodstpw"/>
        <w:jc w:val="center"/>
        <w:rPr>
          <w:b/>
          <w:bCs/>
        </w:rPr>
      </w:pPr>
      <w:r w:rsidRPr="00B84256">
        <w:rPr>
          <w:b/>
          <w:bCs/>
        </w:rPr>
        <w:t>CIT</w:t>
      </w:r>
    </w:p>
    <w:p w14:paraId="1AB72714" w14:textId="77777777" w:rsidR="00397E88" w:rsidRDefault="00397E88" w:rsidP="00B84256">
      <w:pPr>
        <w:pStyle w:val="Bezodstpw"/>
        <w:jc w:val="both"/>
      </w:pPr>
      <w:r>
        <w:t>Spółka złożyła deklarację na podatek dochodowy od osób prawnych (Zeznani</w:t>
      </w:r>
      <w:r w:rsidR="00B84256">
        <w:t xml:space="preserve">e </w:t>
      </w:r>
      <w:r>
        <w:t>o wysokości osiągniętego dochodu (poniesionej straty) i należnego podatku</w:t>
      </w:r>
      <w:r w:rsidR="00B84256">
        <w:t xml:space="preserve"> </w:t>
      </w:r>
      <w:r>
        <w:t>dochodowego od osób prawnych - CIT-8) w ustawowym terminie. W złożonej</w:t>
      </w:r>
      <w:r w:rsidR="00B84256">
        <w:t xml:space="preserve"> </w:t>
      </w:r>
      <w:r>
        <w:t xml:space="preserve">deklaracji Spółka wykazała </w:t>
      </w:r>
      <w:r w:rsidR="00B84256">
        <w:t>dochód</w:t>
      </w:r>
      <w:r>
        <w:t>.</w:t>
      </w:r>
    </w:p>
    <w:p w14:paraId="7F62E634" w14:textId="77777777" w:rsidR="00B84256" w:rsidRDefault="00B84256" w:rsidP="00B84256">
      <w:pPr>
        <w:pStyle w:val="Bezodstpw"/>
        <w:jc w:val="center"/>
      </w:pPr>
    </w:p>
    <w:p w14:paraId="10266516" w14:textId="77777777" w:rsidR="00B84256" w:rsidRPr="00B84256" w:rsidRDefault="00B84256" w:rsidP="00B84256">
      <w:pPr>
        <w:pStyle w:val="Bezodstpw"/>
        <w:jc w:val="center"/>
        <w:rPr>
          <w:b/>
          <w:bCs/>
        </w:rPr>
      </w:pPr>
      <w:r w:rsidRPr="00B84256">
        <w:rPr>
          <w:b/>
          <w:bCs/>
        </w:rPr>
        <w:t>VAT-UE/IF</w:t>
      </w:r>
      <w:r w:rsidR="00803E09">
        <w:rPr>
          <w:b/>
          <w:bCs/>
        </w:rPr>
        <w:t>T</w:t>
      </w:r>
    </w:p>
    <w:p w14:paraId="2C00AAC6" w14:textId="77777777" w:rsidR="00397E88" w:rsidRDefault="00397E88" w:rsidP="00397E88">
      <w:pPr>
        <w:pStyle w:val="Bezodstpw"/>
        <w:jc w:val="center"/>
      </w:pPr>
      <w:r>
        <w:t>Spółka nie współpracuje z podmiotami z poza RP, w związku z powyższym nie sporządza deklaracji VAT-UE, nie dotyczą jej też przepisy odnoszące się do podatku u źródła</w:t>
      </w:r>
      <w:r w:rsidR="00B84256">
        <w:t>.</w:t>
      </w:r>
    </w:p>
    <w:p w14:paraId="30A44718" w14:textId="77777777" w:rsidR="00B84256" w:rsidRDefault="00B84256" w:rsidP="00397E88">
      <w:pPr>
        <w:pStyle w:val="Bezodstpw"/>
        <w:jc w:val="center"/>
      </w:pPr>
    </w:p>
    <w:p w14:paraId="29484367" w14:textId="77777777" w:rsidR="00397E88" w:rsidRPr="00B84256" w:rsidRDefault="00397E88" w:rsidP="00397E88">
      <w:pPr>
        <w:pStyle w:val="Bezodstpw"/>
        <w:jc w:val="center"/>
        <w:rPr>
          <w:b/>
          <w:bCs/>
        </w:rPr>
      </w:pPr>
      <w:r w:rsidRPr="00B84256">
        <w:rPr>
          <w:b/>
          <w:bCs/>
        </w:rPr>
        <w:t>Ceny transferowe</w:t>
      </w:r>
    </w:p>
    <w:p w14:paraId="544E9E88" w14:textId="77777777" w:rsidR="00397E88" w:rsidRDefault="00397E88" w:rsidP="00B84256">
      <w:pPr>
        <w:pStyle w:val="Bezodstpw"/>
        <w:jc w:val="both"/>
      </w:pPr>
      <w:r>
        <w:t xml:space="preserve">Spółka sporządza informację o cenach transferowych TPR-C, jednakże w związku ze spełnieniem warunków zawartych  w art. 11n, korzysta ze zwolnienia w zakresie sporządzania lokalnej dokumentacji cen transferowych </w:t>
      </w:r>
    </w:p>
    <w:p w14:paraId="6724B89F" w14:textId="77777777" w:rsidR="00B84256" w:rsidRPr="00B84256" w:rsidRDefault="00B84256" w:rsidP="00B84256">
      <w:pPr>
        <w:pStyle w:val="Bezodstpw"/>
        <w:jc w:val="center"/>
        <w:rPr>
          <w:b/>
          <w:bCs/>
        </w:rPr>
      </w:pPr>
      <w:r w:rsidRPr="00B84256">
        <w:rPr>
          <w:b/>
          <w:bCs/>
        </w:rPr>
        <w:t>PIT</w:t>
      </w:r>
    </w:p>
    <w:p w14:paraId="06CB9736" w14:textId="77777777" w:rsidR="00062FF7" w:rsidRDefault="00062FF7" w:rsidP="00CC6206">
      <w:pPr>
        <w:pStyle w:val="Bezodstpw"/>
        <w:jc w:val="both"/>
      </w:pPr>
      <w:r>
        <w:t>Zgodnie z art. 31 ustawy o podatku dochodowym od osób fizycznych (PIT) Spółka</w:t>
      </w:r>
      <w:r w:rsidR="00CC6206">
        <w:t xml:space="preserve"> </w:t>
      </w:r>
      <w:r>
        <w:t>jest zobowiązana jako płatnik składek obliczać i pobierać w ciągu roku zaliczki na</w:t>
      </w:r>
      <w:r w:rsidR="00CC6206">
        <w:t xml:space="preserve"> </w:t>
      </w:r>
      <w:r>
        <w:t>podatek dochodowy od osób, które uzyskują przychody ze stosunku służbowego,</w:t>
      </w:r>
      <w:r w:rsidR="00CC6206">
        <w:t xml:space="preserve"> </w:t>
      </w:r>
      <w:r>
        <w:t>stosunku pracy, zasiłki pieniężne z ubezpieczenia społecznego.</w:t>
      </w:r>
      <w:r w:rsidR="00CC6206">
        <w:t xml:space="preserve"> </w:t>
      </w:r>
      <w:r>
        <w:t>Spółka realizuje obowiązek poprzez prawidłowe określenie przychodu uzyskanego</w:t>
      </w:r>
      <w:r w:rsidR="00CC6206">
        <w:t xml:space="preserve"> </w:t>
      </w:r>
      <w:r>
        <w:t>przez pracowników. Przychodem ze stosunku służbowego, stosunku pracy, pracy</w:t>
      </w:r>
      <w:r w:rsidR="00CC6206">
        <w:t xml:space="preserve"> </w:t>
      </w:r>
      <w:r>
        <w:t>nakładczej oraz spółdzielczego stosunku pracy nie są tylko wynagrodzenie</w:t>
      </w:r>
      <w:r w:rsidR="00CC6206">
        <w:t xml:space="preserve"> </w:t>
      </w:r>
      <w:r>
        <w:t>zasadnicze oraz premie pieniężne. Zgodnie z art. 12 ust. 1 PIT przychody obejmują</w:t>
      </w:r>
      <w:r w:rsidR="00CC6206">
        <w:t xml:space="preserve"> </w:t>
      </w:r>
      <w:r>
        <w:t xml:space="preserve">także wynagrodzenie za godziny nadliczbowe, </w:t>
      </w:r>
      <w:r w:rsidR="00CC6206">
        <w:t xml:space="preserve">godziny nocne i </w:t>
      </w:r>
      <w:r>
        <w:t>różnego rodzaju dodatki, nagrody</w:t>
      </w:r>
      <w:r w:rsidR="00CC6206">
        <w:t xml:space="preserve"> </w:t>
      </w:r>
      <w:r>
        <w:t>czy np. ekwiwalenty za niewykorzystany urlop. Spółka pobiera zaliczkę na podatek</w:t>
      </w:r>
      <w:r w:rsidR="00CC6206">
        <w:t xml:space="preserve"> </w:t>
      </w:r>
      <w:r>
        <w:t>dochodowy także od dodatkowych świadczeń pieniężnych i świadczeń</w:t>
      </w:r>
      <w:r w:rsidR="00CC6206">
        <w:t xml:space="preserve"> </w:t>
      </w:r>
      <w:r>
        <w:t>niepieniężnych wynikających z Regulaminu Wynagradzania.</w:t>
      </w:r>
      <w:r w:rsidR="00CC6206">
        <w:t xml:space="preserve"> S</w:t>
      </w:r>
      <w:r>
        <w:t>półka w terminie ustawowym sporządziła i przesłała drogą elektroniczną</w:t>
      </w:r>
      <w:r w:rsidR="00CC6206">
        <w:t xml:space="preserve"> </w:t>
      </w:r>
      <w:r>
        <w:t>deklarację roczną PIT-4R, w której wykazała sumy pobranych zaliczek za</w:t>
      </w:r>
      <w:r w:rsidR="00CC6206">
        <w:t xml:space="preserve"> </w:t>
      </w:r>
      <w:r>
        <w:t xml:space="preserve">poszczególne miesiące roku podatkowego. Również w ustawowym </w:t>
      </w:r>
      <w:r w:rsidR="00CC6206">
        <w:t xml:space="preserve"> </w:t>
      </w:r>
      <w:r>
        <w:t>terminie</w:t>
      </w:r>
      <w:r w:rsidR="00CC6206">
        <w:t xml:space="preserve"> </w:t>
      </w:r>
      <w:r>
        <w:t>przekazane zostały</w:t>
      </w:r>
      <w:r w:rsidR="00CC6206">
        <w:t xml:space="preserve"> </w:t>
      </w:r>
      <w:r>
        <w:t xml:space="preserve"> organowi podatkowemu deklaracje PIT-11, w których </w:t>
      </w:r>
      <w:r w:rsidR="00CC6206">
        <w:t xml:space="preserve"> </w:t>
      </w:r>
      <w:r>
        <w:t>wykazane</w:t>
      </w:r>
    </w:p>
    <w:p w14:paraId="4B74B83A" w14:textId="77777777" w:rsidR="00CC6206" w:rsidRDefault="00062FF7" w:rsidP="00CC6206">
      <w:pPr>
        <w:pStyle w:val="Bezodstpw"/>
        <w:jc w:val="both"/>
      </w:pPr>
      <w:r>
        <w:t>zostały informacje o przychodach z innych źródeł, dochodach oraz pobranych</w:t>
      </w:r>
      <w:r w:rsidR="00CC6206">
        <w:t xml:space="preserve"> </w:t>
      </w:r>
      <w:r>
        <w:t>zaliczkach na podatek dochodowy. Deklaracje PIT-11 zostały udostępnione bądź</w:t>
      </w:r>
      <w:r w:rsidR="00CC6206">
        <w:t xml:space="preserve"> </w:t>
      </w:r>
      <w:r>
        <w:t>przesłane pracownikom i zleceniobiorcom w ustawowym terminie.</w:t>
      </w:r>
      <w:r w:rsidR="00CC6206">
        <w:t xml:space="preserve"> </w:t>
      </w:r>
      <w:r>
        <w:t>Spółka realizuje również obowiązek przechowywania dokumentów związanych</w:t>
      </w:r>
      <w:r w:rsidR="00CC6206">
        <w:t xml:space="preserve"> </w:t>
      </w:r>
      <w:r>
        <w:t>z poborem podatków do czasu upływu terminu przedawnienia zobowiązania</w:t>
      </w:r>
      <w:r w:rsidR="00CC6206">
        <w:t xml:space="preserve"> </w:t>
      </w:r>
    </w:p>
    <w:p w14:paraId="57CC5918" w14:textId="77777777" w:rsidR="00062FF7" w:rsidRDefault="00062FF7" w:rsidP="00CC6206">
      <w:pPr>
        <w:pStyle w:val="Bezodstpw"/>
        <w:jc w:val="both"/>
      </w:pPr>
      <w:r>
        <w:t>płatnika.</w:t>
      </w:r>
    </w:p>
    <w:p w14:paraId="5582C742" w14:textId="77777777" w:rsidR="00062FF7" w:rsidRPr="00CC6206" w:rsidRDefault="00062FF7" w:rsidP="00CC6206">
      <w:pPr>
        <w:pStyle w:val="Bezodstpw"/>
        <w:jc w:val="center"/>
        <w:rPr>
          <w:b/>
          <w:bCs/>
        </w:rPr>
      </w:pPr>
      <w:r w:rsidRPr="00CC6206">
        <w:rPr>
          <w:b/>
          <w:bCs/>
        </w:rPr>
        <w:t>Podatek akcyzowy</w:t>
      </w:r>
    </w:p>
    <w:p w14:paraId="15230B24" w14:textId="77777777" w:rsidR="00062FF7" w:rsidRDefault="00062FF7" w:rsidP="00CC6206">
      <w:pPr>
        <w:pStyle w:val="Bezodstpw"/>
        <w:jc w:val="center"/>
      </w:pPr>
      <w:r>
        <w:t>Spółka nie jest zarejestrowanym podmiotem w zakresie prawa akcyzowego</w:t>
      </w:r>
      <w:r w:rsidR="00CC6206">
        <w:t>.</w:t>
      </w:r>
    </w:p>
    <w:p w14:paraId="7C6F2796" w14:textId="77777777" w:rsidR="00CC6206" w:rsidRDefault="00CC6206" w:rsidP="00CC6206">
      <w:pPr>
        <w:pStyle w:val="Bezodstpw"/>
        <w:jc w:val="center"/>
      </w:pPr>
    </w:p>
    <w:p w14:paraId="4F4E9895" w14:textId="77777777" w:rsidR="002E4328" w:rsidRDefault="002E4328" w:rsidP="00CC6206">
      <w:pPr>
        <w:pStyle w:val="Bezodstpw"/>
        <w:jc w:val="center"/>
        <w:rPr>
          <w:b/>
          <w:bCs/>
        </w:rPr>
      </w:pPr>
    </w:p>
    <w:p w14:paraId="154065F9" w14:textId="77777777" w:rsidR="00062FF7" w:rsidRPr="00CC6206" w:rsidRDefault="00062FF7" w:rsidP="00CC6206">
      <w:pPr>
        <w:pStyle w:val="Bezodstpw"/>
        <w:jc w:val="center"/>
        <w:rPr>
          <w:b/>
          <w:bCs/>
        </w:rPr>
      </w:pPr>
      <w:r w:rsidRPr="00CC6206">
        <w:rPr>
          <w:b/>
          <w:bCs/>
        </w:rPr>
        <w:t>Podatek od nieruchomości</w:t>
      </w:r>
    </w:p>
    <w:p w14:paraId="6294ACC4" w14:textId="77777777" w:rsidR="00062FF7" w:rsidRDefault="00062FF7" w:rsidP="00CC6206">
      <w:pPr>
        <w:pStyle w:val="Bezodstpw"/>
        <w:jc w:val="center"/>
      </w:pPr>
      <w:r>
        <w:t>Spółka nie jest właścicielem nieruchomości</w:t>
      </w:r>
    </w:p>
    <w:p w14:paraId="7CB4B497" w14:textId="77777777" w:rsidR="00CC6206" w:rsidRDefault="00CC6206" w:rsidP="00CC6206">
      <w:pPr>
        <w:pStyle w:val="Bezodstpw"/>
        <w:jc w:val="center"/>
      </w:pPr>
    </w:p>
    <w:p w14:paraId="3B80F972" w14:textId="77777777" w:rsidR="00062FF7" w:rsidRPr="00CC6206" w:rsidRDefault="00062FF7" w:rsidP="00062FF7">
      <w:pPr>
        <w:pStyle w:val="Bezodstpw"/>
        <w:jc w:val="center"/>
        <w:rPr>
          <w:b/>
          <w:bCs/>
        </w:rPr>
      </w:pPr>
      <w:r w:rsidRPr="00CC6206">
        <w:rPr>
          <w:b/>
          <w:bCs/>
        </w:rPr>
        <w:t>ORD-U</w:t>
      </w:r>
    </w:p>
    <w:p w14:paraId="5DEE562A" w14:textId="77777777" w:rsidR="00062FF7" w:rsidRDefault="00062FF7" w:rsidP="00062FF7">
      <w:pPr>
        <w:pStyle w:val="Bezodstpw"/>
        <w:jc w:val="center"/>
      </w:pPr>
      <w:r>
        <w:t>Spółka nie zawierała umów z nierezydentami</w:t>
      </w:r>
    </w:p>
    <w:p w14:paraId="1B6C7B9A" w14:textId="77777777" w:rsidR="00CC6206" w:rsidRDefault="00CC6206" w:rsidP="00062FF7">
      <w:pPr>
        <w:pStyle w:val="Bezodstpw"/>
        <w:jc w:val="center"/>
      </w:pPr>
    </w:p>
    <w:p w14:paraId="2BCE7D77" w14:textId="77777777" w:rsidR="00CC6206" w:rsidRDefault="00B84256" w:rsidP="00B84256">
      <w:pPr>
        <w:pStyle w:val="Bezodstpw"/>
        <w:jc w:val="center"/>
      </w:pPr>
      <w:r w:rsidRPr="00CC6206">
        <w:rPr>
          <w:b/>
          <w:bCs/>
        </w:rPr>
        <w:t>Raportowanie schematów podatkowych</w:t>
      </w:r>
      <w:r w:rsidRPr="00B84256">
        <w:t xml:space="preserve"> </w:t>
      </w:r>
    </w:p>
    <w:p w14:paraId="2BB012C0" w14:textId="3C8599AD" w:rsidR="00B84256" w:rsidRDefault="00B84256" w:rsidP="00CC6206">
      <w:pPr>
        <w:pStyle w:val="Bezodstpw"/>
        <w:jc w:val="center"/>
      </w:pPr>
      <w:r>
        <w:t>W 202</w:t>
      </w:r>
      <w:r w:rsidR="00C85DE2">
        <w:t>4</w:t>
      </w:r>
      <w:r>
        <w:t xml:space="preserve"> roku Spółka nie przekazała Szefowi KAS informacji o schematach</w:t>
      </w:r>
      <w:r w:rsidR="00CC6206">
        <w:t xml:space="preserve"> </w:t>
      </w:r>
      <w:r>
        <w:t>podatkowych, o których mowa w art. 86a § 1 pkt 10 Ordynacji podatkowej ze względu</w:t>
      </w:r>
      <w:r w:rsidR="00CC6206">
        <w:t xml:space="preserve"> </w:t>
      </w:r>
      <w:r>
        <w:t xml:space="preserve">na </w:t>
      </w:r>
      <w:r w:rsidR="00CC6206">
        <w:t>brak identyfikacji</w:t>
      </w:r>
      <w:r>
        <w:t xml:space="preserve"> takiego obowiązku.</w:t>
      </w:r>
    </w:p>
    <w:p w14:paraId="1CCC2565" w14:textId="77777777" w:rsidR="00CC6206" w:rsidRDefault="00CC6206" w:rsidP="00CC6206">
      <w:pPr>
        <w:pStyle w:val="Bezodstpw"/>
        <w:jc w:val="center"/>
      </w:pPr>
    </w:p>
    <w:p w14:paraId="5EC35EC5" w14:textId="77777777" w:rsidR="00CC6206" w:rsidRDefault="00CC6206" w:rsidP="00CC6206">
      <w:pPr>
        <w:pStyle w:val="Bezodstpw"/>
        <w:jc w:val="both"/>
      </w:pPr>
    </w:p>
    <w:p w14:paraId="0817858F" w14:textId="77777777" w:rsidR="00BD78B2" w:rsidRPr="00BD78B2" w:rsidRDefault="00BD78B2" w:rsidP="00BD78B2">
      <w:pPr>
        <w:pStyle w:val="Bezodstpw"/>
        <w:jc w:val="center"/>
        <w:rPr>
          <w:b/>
          <w:bCs/>
          <w:i/>
          <w:iCs/>
        </w:rPr>
      </w:pPr>
      <w:r w:rsidRPr="00BD78B2">
        <w:rPr>
          <w:b/>
          <w:bCs/>
          <w:i/>
          <w:iCs/>
        </w:rPr>
        <w:t>Informacje o transakcjach z podmiotami powiązanymi w rozumieniu art. 11a ust. 1 pkt 4</w:t>
      </w:r>
    </w:p>
    <w:p w14:paraId="096B7833" w14:textId="77777777" w:rsidR="00BD78B2" w:rsidRPr="00BD78B2" w:rsidRDefault="00BD78B2" w:rsidP="00BD78B2">
      <w:pPr>
        <w:pStyle w:val="Bezodstpw"/>
        <w:jc w:val="center"/>
        <w:rPr>
          <w:b/>
          <w:bCs/>
          <w:i/>
          <w:iCs/>
        </w:rPr>
      </w:pPr>
      <w:r w:rsidRPr="00BD78B2">
        <w:rPr>
          <w:b/>
          <w:bCs/>
          <w:i/>
          <w:iCs/>
        </w:rPr>
        <w:t>ustawy o CIT, których wartość przekracza 5% sumy bilansowej aktywów w rozumieniu</w:t>
      </w:r>
    </w:p>
    <w:p w14:paraId="7AEEE74F" w14:textId="77777777" w:rsidR="00BD78B2" w:rsidRPr="00BD78B2" w:rsidRDefault="00BD78B2" w:rsidP="00BD78B2">
      <w:pPr>
        <w:pStyle w:val="Bezodstpw"/>
        <w:jc w:val="center"/>
        <w:rPr>
          <w:b/>
          <w:bCs/>
          <w:i/>
          <w:iCs/>
        </w:rPr>
      </w:pPr>
      <w:r w:rsidRPr="00BD78B2">
        <w:rPr>
          <w:b/>
          <w:bCs/>
          <w:i/>
          <w:iCs/>
        </w:rPr>
        <w:t>przepisów o rachunkowości, ustalonych na podstawie ostatniego zatwierdzonego</w:t>
      </w:r>
    </w:p>
    <w:p w14:paraId="3A2CB70A" w14:textId="77777777" w:rsidR="00BD78B2" w:rsidRPr="00BD78B2" w:rsidRDefault="00BD78B2" w:rsidP="00BD78B2">
      <w:pPr>
        <w:pStyle w:val="Bezodstpw"/>
        <w:jc w:val="center"/>
        <w:rPr>
          <w:b/>
          <w:bCs/>
          <w:i/>
          <w:iCs/>
        </w:rPr>
      </w:pPr>
      <w:r w:rsidRPr="00BD78B2">
        <w:rPr>
          <w:b/>
          <w:bCs/>
          <w:i/>
          <w:iCs/>
        </w:rPr>
        <w:t>sprawozdania finansowego Spółki, w tym podmiotami niebędącymi rezydentami</w:t>
      </w:r>
    </w:p>
    <w:p w14:paraId="6076BF7E" w14:textId="77777777" w:rsidR="00BD78B2" w:rsidRDefault="00BD78B2" w:rsidP="00BD78B2">
      <w:pPr>
        <w:pStyle w:val="Bezodstpw"/>
        <w:jc w:val="center"/>
        <w:rPr>
          <w:b/>
          <w:bCs/>
          <w:i/>
          <w:iCs/>
        </w:rPr>
      </w:pPr>
      <w:r w:rsidRPr="00BD78B2">
        <w:rPr>
          <w:b/>
          <w:bCs/>
          <w:i/>
          <w:iCs/>
        </w:rPr>
        <w:t>podatkowymi Rzeczypospolitej Polskiej</w:t>
      </w:r>
    </w:p>
    <w:p w14:paraId="469D1BD7" w14:textId="77777777" w:rsidR="00EC2AF1" w:rsidRDefault="00EC2AF1" w:rsidP="00BD78B2">
      <w:pPr>
        <w:pStyle w:val="Bezodstpw"/>
        <w:jc w:val="center"/>
        <w:rPr>
          <w:b/>
          <w:bCs/>
          <w:i/>
          <w:iCs/>
        </w:rPr>
      </w:pPr>
    </w:p>
    <w:p w14:paraId="1441E37F" w14:textId="29358C40" w:rsidR="00EC2AF1" w:rsidRPr="00EC2AF1" w:rsidRDefault="00EC2AF1" w:rsidP="00BD78B2">
      <w:pPr>
        <w:pStyle w:val="Bezodstpw"/>
        <w:jc w:val="center"/>
      </w:pPr>
      <w:r w:rsidRPr="00EC2AF1">
        <w:t>Suma bilansowa w sprawozdaniu za rok 202</w:t>
      </w:r>
      <w:r w:rsidR="00C85DE2">
        <w:t>4</w:t>
      </w:r>
      <w:r w:rsidRPr="00EC2AF1">
        <w:t xml:space="preserve"> wyniosła </w:t>
      </w:r>
      <w:r w:rsidR="00C85DE2" w:rsidRPr="00C85DE2">
        <w:t xml:space="preserve">43 527 811,55 </w:t>
      </w:r>
      <w:r w:rsidRPr="00EC2AF1">
        <w:t xml:space="preserve"> zł</w:t>
      </w:r>
    </w:p>
    <w:p w14:paraId="3EC13130" w14:textId="77777777" w:rsidR="00EC2AF1" w:rsidRPr="00EC2AF1" w:rsidRDefault="00EC2AF1" w:rsidP="00EC2AF1">
      <w:pPr>
        <w:pStyle w:val="Bezodstpw"/>
        <w:jc w:val="center"/>
      </w:pPr>
      <w:r w:rsidRPr="00EC2AF1">
        <w:t>Jednocześnie informujemy, że suma transakcji z podmiotami powiązanymi przekroczyła 5% sumy</w:t>
      </w:r>
    </w:p>
    <w:p w14:paraId="1488E52B" w14:textId="77777777" w:rsidR="00EC2AF1" w:rsidRPr="00EC2AF1" w:rsidRDefault="00EC2AF1" w:rsidP="00EC2AF1">
      <w:pPr>
        <w:pStyle w:val="Bezodstpw"/>
        <w:jc w:val="center"/>
      </w:pPr>
      <w:r w:rsidRPr="00EC2AF1">
        <w:t>bilansowej aktywów, o której mowa powyżej, przy czym powyżej raportujemy transakcje jednorodne</w:t>
      </w:r>
    </w:p>
    <w:p w14:paraId="62CC5738" w14:textId="77777777" w:rsidR="00EC2AF1" w:rsidRPr="00EC2AF1" w:rsidRDefault="00EC2AF1" w:rsidP="00EC2AF1">
      <w:pPr>
        <w:pStyle w:val="Bezodstpw"/>
        <w:jc w:val="center"/>
      </w:pPr>
      <w:r w:rsidRPr="00EC2AF1">
        <w:t>w rozumieniu przepisów o cenach transferowych, których wartość (jednostkowo) przekracza</w:t>
      </w:r>
    </w:p>
    <w:p w14:paraId="543AECD0" w14:textId="77777777" w:rsidR="00EC2AF1" w:rsidRPr="00EC2AF1" w:rsidRDefault="00EC2AF1" w:rsidP="00EC2AF1">
      <w:pPr>
        <w:pStyle w:val="Bezodstpw"/>
        <w:jc w:val="center"/>
      </w:pPr>
      <w:r w:rsidRPr="00EC2AF1">
        <w:t>wskazany limit</w:t>
      </w:r>
      <w:r>
        <w:t>:</w:t>
      </w:r>
    </w:p>
    <w:p w14:paraId="739BCFDC" w14:textId="77777777" w:rsidR="00EC2AF1" w:rsidRPr="00EC2AF1" w:rsidRDefault="00EC2AF1" w:rsidP="00EC2AF1">
      <w:pPr>
        <w:pStyle w:val="Bezodstpw"/>
        <w:jc w:val="center"/>
      </w:pPr>
      <w:r>
        <w:t xml:space="preserve">- </w:t>
      </w:r>
      <w:r w:rsidRPr="00EC2AF1">
        <w:t>zakup usług transportu paliw</w:t>
      </w:r>
    </w:p>
    <w:p w14:paraId="3B822521" w14:textId="77777777" w:rsidR="00CC6206" w:rsidRDefault="00EC2AF1" w:rsidP="00BD78B2">
      <w:pPr>
        <w:pStyle w:val="Bezodstpw"/>
        <w:jc w:val="center"/>
      </w:pPr>
      <w:r>
        <w:rPr>
          <w:b/>
          <w:bCs/>
          <w:i/>
          <w:iCs/>
        </w:rPr>
        <w:t xml:space="preserve">- </w:t>
      </w:r>
      <w:r w:rsidRPr="00EC2AF1">
        <w:t>najem stacji paliw</w:t>
      </w:r>
    </w:p>
    <w:p w14:paraId="0AD746B9" w14:textId="77777777" w:rsidR="00EC2AF1" w:rsidRPr="00EC2AF1" w:rsidRDefault="00EC2AF1" w:rsidP="00BD78B2">
      <w:pPr>
        <w:pStyle w:val="Bezodstpw"/>
        <w:jc w:val="center"/>
      </w:pPr>
    </w:p>
    <w:p w14:paraId="7FC0D19D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Informacje o planowanych lub podejmowanych przez</w:t>
      </w:r>
    </w:p>
    <w:p w14:paraId="23366CE6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podatnika działaniach restrukturyzacyjnych mogących mieć</w:t>
      </w:r>
    </w:p>
    <w:p w14:paraId="79FC6694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wpływ na wysokość zobowiązań podatkowych podatnika lub</w:t>
      </w:r>
    </w:p>
    <w:p w14:paraId="62F8305A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podmiotów powiązanych w rozumieniu art. 11a ust. 1 pkt 4</w:t>
      </w:r>
    </w:p>
    <w:p w14:paraId="6663DECF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(art. 27c ust. 2 pkt 3b CIT)</w:t>
      </w:r>
    </w:p>
    <w:p w14:paraId="20679D8B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</w:p>
    <w:p w14:paraId="42139804" w14:textId="1A790A2A" w:rsidR="00CC6206" w:rsidRDefault="00CC6206" w:rsidP="00CC6206">
      <w:pPr>
        <w:pStyle w:val="Bezodstpw"/>
        <w:jc w:val="center"/>
      </w:pPr>
      <w:r w:rsidRPr="00CC6206">
        <w:t>W roku 202</w:t>
      </w:r>
      <w:r w:rsidR="00C85DE2">
        <w:t>4</w:t>
      </w:r>
      <w:r w:rsidRPr="00CC6206">
        <w:t xml:space="preserve"> Spółka nie podejmowała żadnych działań restrukturyzacyjnych mogących mieć wpływ na wysokość zobowiązań podatkowych podatnika.</w:t>
      </w:r>
    </w:p>
    <w:p w14:paraId="04BBA5FA" w14:textId="77777777" w:rsidR="00CC6206" w:rsidRDefault="00CC6206" w:rsidP="00CC6206">
      <w:pPr>
        <w:pStyle w:val="Bezodstpw"/>
        <w:jc w:val="center"/>
      </w:pPr>
    </w:p>
    <w:p w14:paraId="2DDB171A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Informacje o złożonych przez podatnika wnioskach o wydanie</w:t>
      </w:r>
    </w:p>
    <w:p w14:paraId="49120B86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ogólnej interpretacji podatkowej, o której mowa w art. 14a § 1</w:t>
      </w:r>
    </w:p>
    <w:p w14:paraId="5450EDAB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Ordynacji podatkowej (art. 27c ust. 2 pkt 4a CIT</w:t>
      </w:r>
    </w:p>
    <w:p w14:paraId="3FBA98BB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</w:p>
    <w:p w14:paraId="74820F14" w14:textId="60EE5E48" w:rsidR="00CC6206" w:rsidRDefault="00CC6206" w:rsidP="00CC6206">
      <w:pPr>
        <w:pStyle w:val="Bezodstpw"/>
        <w:jc w:val="center"/>
      </w:pPr>
      <w:r w:rsidRPr="00CC6206">
        <w:t>W 202</w:t>
      </w:r>
      <w:r w:rsidR="00C85DE2">
        <w:t>4</w:t>
      </w:r>
      <w:r w:rsidRPr="00CC6206">
        <w:t xml:space="preserve"> roku Spółka nie złożyła wniosku o wydanie ogólnej interpretacji</w:t>
      </w:r>
      <w:r>
        <w:t xml:space="preserve"> </w:t>
      </w:r>
      <w:r w:rsidRPr="00CC6206">
        <w:t>podatkowej.</w:t>
      </w:r>
    </w:p>
    <w:p w14:paraId="3C89679B" w14:textId="77777777" w:rsidR="00CC6206" w:rsidRDefault="00CC6206" w:rsidP="00CC6206">
      <w:pPr>
        <w:pStyle w:val="Bezodstpw"/>
        <w:jc w:val="both"/>
      </w:pPr>
    </w:p>
    <w:p w14:paraId="7E586A2A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Informacje o złożonych przez podatnika wnioskach o wydanie</w:t>
      </w:r>
    </w:p>
    <w:p w14:paraId="20EDCAB1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interpretacji przepisów prawa podatkowego, o której mowa</w:t>
      </w:r>
    </w:p>
    <w:p w14:paraId="5D859E79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w art. 14b Ordynacji podatkowej (art. 27c ust. 2 pkt 4b CIT)</w:t>
      </w:r>
    </w:p>
    <w:p w14:paraId="6A1D6E4F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</w:p>
    <w:p w14:paraId="061DAB30" w14:textId="316300F3" w:rsidR="00CC6206" w:rsidRDefault="00CC6206" w:rsidP="00CC6206">
      <w:pPr>
        <w:pStyle w:val="Bezodstpw"/>
        <w:jc w:val="center"/>
      </w:pPr>
      <w:r w:rsidRPr="00CC6206">
        <w:t>W 202</w:t>
      </w:r>
      <w:r w:rsidR="00C85DE2">
        <w:t>4</w:t>
      </w:r>
      <w:r w:rsidRPr="00CC6206">
        <w:t xml:space="preserve"> roku Spółka nie złożyła wniosku o wydanie ogólnej interpretacji</w:t>
      </w:r>
      <w:r>
        <w:t xml:space="preserve"> </w:t>
      </w:r>
      <w:r w:rsidRPr="00CC6206">
        <w:t>podatkowej</w:t>
      </w:r>
      <w:r>
        <w:t>.</w:t>
      </w:r>
    </w:p>
    <w:p w14:paraId="3B3D05C9" w14:textId="77777777" w:rsidR="00CC6206" w:rsidRDefault="00CC6206" w:rsidP="00CC6206">
      <w:pPr>
        <w:pStyle w:val="Bezodstpw"/>
        <w:jc w:val="both"/>
      </w:pPr>
    </w:p>
    <w:p w14:paraId="2F13D673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Informacje o złożonych przez podatnika wnioskach o wydanie</w:t>
      </w:r>
    </w:p>
    <w:p w14:paraId="2716B8DE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wiążącej informacji stawkowej, o której mowa w art. 42a</w:t>
      </w:r>
    </w:p>
    <w:p w14:paraId="2DBEF43E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ustawy o podatku od towarów i usług</w:t>
      </w:r>
    </w:p>
    <w:p w14:paraId="11ACAEF7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(art. 27c ust. 2 pkt 4c CIT)</w:t>
      </w:r>
    </w:p>
    <w:p w14:paraId="28C0F54D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</w:p>
    <w:p w14:paraId="0D8F4DF6" w14:textId="2A9BDB22" w:rsidR="00CC6206" w:rsidRDefault="00CC6206" w:rsidP="00CC6206">
      <w:pPr>
        <w:pStyle w:val="Bezodstpw"/>
        <w:jc w:val="center"/>
      </w:pPr>
      <w:r w:rsidRPr="00CC6206">
        <w:t>W 202</w:t>
      </w:r>
      <w:r w:rsidR="00C85DE2">
        <w:t>4</w:t>
      </w:r>
      <w:r w:rsidRPr="00CC6206">
        <w:t xml:space="preserve"> roku Spółka nie złożyła wniosku o wydanie wiążącej informacji stawkowej</w:t>
      </w:r>
      <w:r>
        <w:t>.</w:t>
      </w:r>
    </w:p>
    <w:p w14:paraId="4DAE98AE" w14:textId="77777777" w:rsidR="00CC6206" w:rsidRDefault="00CC6206" w:rsidP="00CC6206">
      <w:pPr>
        <w:pStyle w:val="Bezodstpw"/>
      </w:pPr>
    </w:p>
    <w:p w14:paraId="3E241B89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lastRenderedPageBreak/>
        <w:t>Informacje o złożonych przez podatnika wnioskach o wydanie</w:t>
      </w:r>
    </w:p>
    <w:p w14:paraId="0A4125D3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wiążącej informacji akcyzowej, o której mowa w art. 7d ust. 1</w:t>
      </w:r>
    </w:p>
    <w:p w14:paraId="0054B4F9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ustawy o podatku akcyzowym (art. 27c ust. 2 pkt 4d CIT)</w:t>
      </w:r>
    </w:p>
    <w:p w14:paraId="4CAF531A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</w:p>
    <w:p w14:paraId="7D13F172" w14:textId="7FAADEFC" w:rsidR="00CC6206" w:rsidRDefault="00CC6206" w:rsidP="00CC6206">
      <w:pPr>
        <w:pStyle w:val="Bezodstpw"/>
        <w:jc w:val="center"/>
      </w:pPr>
      <w:r w:rsidRPr="00CC6206">
        <w:t>W 202</w:t>
      </w:r>
      <w:r w:rsidR="00C85DE2">
        <w:t>4</w:t>
      </w:r>
      <w:r w:rsidRPr="00CC6206">
        <w:t xml:space="preserve"> roku Spółka nie złożyła wniosku o wydanie wiążącej informacji akcyzowej.</w:t>
      </w:r>
    </w:p>
    <w:p w14:paraId="0122AB50" w14:textId="77777777" w:rsidR="00CC6206" w:rsidRDefault="00CC6206" w:rsidP="00CC6206">
      <w:pPr>
        <w:pStyle w:val="Bezodstpw"/>
        <w:jc w:val="center"/>
      </w:pPr>
    </w:p>
    <w:p w14:paraId="2A12CA25" w14:textId="77777777" w:rsidR="00CC6206" w:rsidRDefault="00CC6206" w:rsidP="00CC6206">
      <w:pPr>
        <w:pStyle w:val="Bezodstpw"/>
        <w:jc w:val="center"/>
      </w:pPr>
    </w:p>
    <w:p w14:paraId="2DE1BC1E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Informacje dotyczące dokonywania rozliczeń podatkowych</w:t>
      </w:r>
    </w:p>
    <w:p w14:paraId="47FAA599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podatnika na terytoriach lub w krajach stosujących szkodliwą</w:t>
      </w:r>
    </w:p>
    <w:p w14:paraId="75AFC6D7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konkurencję podatkową wskazanych w aktach wykonawczych</w:t>
      </w:r>
    </w:p>
    <w:p w14:paraId="736C2FF9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wydanych na podstawie art. 11j ust. 2 CIT i na podstawie art.</w:t>
      </w:r>
    </w:p>
    <w:p w14:paraId="187945B1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23v ust. 2 PIT oraz w obwieszczeniu ministra właściwego do</w:t>
      </w:r>
    </w:p>
    <w:p w14:paraId="7F734FDE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spraw finansów publicznych wydanym na podstawie art. 86a §</w:t>
      </w:r>
    </w:p>
    <w:p w14:paraId="05CBFD2D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  <w:r w:rsidRPr="00CC6206">
        <w:rPr>
          <w:b/>
          <w:bCs/>
          <w:i/>
          <w:iCs/>
        </w:rPr>
        <w:t>10 Ordynacji podatkowej (art. 27c ust. 2 pkt 5 CIT</w:t>
      </w:r>
    </w:p>
    <w:p w14:paraId="7DBC4ED5" w14:textId="77777777" w:rsidR="00CC6206" w:rsidRDefault="00CC6206" w:rsidP="00CC6206">
      <w:pPr>
        <w:pStyle w:val="Bezodstpw"/>
        <w:jc w:val="center"/>
        <w:rPr>
          <w:b/>
          <w:bCs/>
          <w:i/>
          <w:iCs/>
        </w:rPr>
      </w:pPr>
    </w:p>
    <w:p w14:paraId="3C293704" w14:textId="0A3620F4" w:rsidR="00CC6206" w:rsidRPr="00CC6206" w:rsidRDefault="00CC6206" w:rsidP="00CC6206">
      <w:pPr>
        <w:pStyle w:val="Bezodstpw"/>
        <w:jc w:val="center"/>
      </w:pPr>
      <w:r w:rsidRPr="00CC6206">
        <w:t>W 202</w:t>
      </w:r>
      <w:r w:rsidR="00C85DE2">
        <w:t>4</w:t>
      </w:r>
      <w:r w:rsidRPr="00CC6206">
        <w:t xml:space="preserve"> roku Spółka nie dokonywała rozliczeń z podmiotami zarejestrowanymi na</w:t>
      </w:r>
    </w:p>
    <w:p w14:paraId="14307530" w14:textId="77777777" w:rsidR="00CC6206" w:rsidRPr="00CC6206" w:rsidRDefault="00CC6206" w:rsidP="00CC6206">
      <w:pPr>
        <w:pStyle w:val="Bezodstpw"/>
        <w:jc w:val="center"/>
      </w:pPr>
      <w:r w:rsidRPr="00CC6206">
        <w:t>terytoriach lub w krajach stosujących szkodliwą konkurencję podatkową.</w:t>
      </w:r>
    </w:p>
    <w:p w14:paraId="220C7906" w14:textId="77777777" w:rsidR="00CC6206" w:rsidRPr="00CC6206" w:rsidRDefault="00CC6206" w:rsidP="00CC6206">
      <w:pPr>
        <w:pStyle w:val="Bezodstpw"/>
        <w:jc w:val="center"/>
        <w:rPr>
          <w:b/>
          <w:bCs/>
          <w:i/>
          <w:iCs/>
        </w:rPr>
      </w:pPr>
    </w:p>
    <w:sectPr w:rsidR="00CC6206" w:rsidRPr="00CC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E2"/>
    <w:rsid w:val="00062FF7"/>
    <w:rsid w:val="0006785B"/>
    <w:rsid w:val="000E41FF"/>
    <w:rsid w:val="00150975"/>
    <w:rsid w:val="00234B19"/>
    <w:rsid w:val="002E4328"/>
    <w:rsid w:val="00397E88"/>
    <w:rsid w:val="003E1CB2"/>
    <w:rsid w:val="00423CFA"/>
    <w:rsid w:val="00803E09"/>
    <w:rsid w:val="009338FA"/>
    <w:rsid w:val="00A5380E"/>
    <w:rsid w:val="00B76464"/>
    <w:rsid w:val="00B84256"/>
    <w:rsid w:val="00B95CE1"/>
    <w:rsid w:val="00BD78B2"/>
    <w:rsid w:val="00C85DE2"/>
    <w:rsid w:val="00CC6206"/>
    <w:rsid w:val="00E056FD"/>
    <w:rsid w:val="00E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2FD5"/>
  <w15:chartTrackingRefBased/>
  <w15:docId w15:val="{E1C3ACF7-6037-4D4C-94C7-D9ABDB41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l-PL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CB2"/>
  </w:style>
  <w:style w:type="paragraph" w:styleId="Nagwek1">
    <w:name w:val="heading 1"/>
    <w:basedOn w:val="Normalny"/>
    <w:next w:val="Normalny"/>
    <w:link w:val="Nagwek1Znak"/>
    <w:uiPriority w:val="9"/>
    <w:qFormat/>
    <w:rsid w:val="003E1CB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CB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CB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C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C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C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C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C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C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CB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CB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CB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CB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CB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CB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CB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CB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CB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E1CB2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3E1C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3E1CB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CB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E1CB2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3E1CB2"/>
    <w:rPr>
      <w:b/>
      <w:bCs/>
    </w:rPr>
  </w:style>
  <w:style w:type="character" w:styleId="Uwydatnienie">
    <w:name w:val="Emphasis"/>
    <w:basedOn w:val="Domylnaczcionkaakapitu"/>
    <w:uiPriority w:val="20"/>
    <w:qFormat/>
    <w:rsid w:val="003E1CB2"/>
    <w:rPr>
      <w:i/>
      <w:iCs/>
      <w:color w:val="70AD47" w:themeColor="accent6"/>
    </w:rPr>
  </w:style>
  <w:style w:type="paragraph" w:styleId="Bezodstpw">
    <w:name w:val="No Spacing"/>
    <w:uiPriority w:val="1"/>
    <w:qFormat/>
    <w:rsid w:val="003E1C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E1CB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3E1CB2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CB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CB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3E1CB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3E1CB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3E1CB2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3E1CB2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3E1CB2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E1CB2"/>
    <w:pPr>
      <w:outlineLvl w:val="9"/>
    </w:pPr>
  </w:style>
  <w:style w:type="paragraph" w:styleId="Akapitzlist">
    <w:name w:val="List Paragraph"/>
    <w:basedOn w:val="Normalny"/>
    <w:uiPriority w:val="34"/>
    <w:qFormat/>
    <w:rsid w:val="00067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wakowska\Documents\MIKSTOL%20Miko&#322;aj%20Powidzki%20Sp&#243;&#322;ka%20komantydowa\STRATEGIA%20PODATKOWA\Strategia%20Podatkowa%20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Strategia Podatkowa 2024</Template>
  <TotalTime>0</TotalTime>
  <Pages>4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knowakowska</dc:creator>
  <cp:keywords/>
  <dc:description/>
  <cp:lastModifiedBy>Karolina Skrzypczak-Nowakowska</cp:lastModifiedBy>
  <cp:revision>1</cp:revision>
  <dcterms:created xsi:type="dcterms:W3CDTF">2025-12-23T08:01:00Z</dcterms:created>
  <dcterms:modified xsi:type="dcterms:W3CDTF">2025-12-23T08:06:00Z</dcterms:modified>
</cp:coreProperties>
</file>